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COORDINATEUR FINANCES ET RH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COORDINATEUR FINANCES ET RH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H00100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