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Función de prueba multilingüe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Función de prueba multilingüe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TST001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p>
      <w:pPr>
        <w:pStyle w:val="Heading1"/>
      </w:pPr>
      <w:r>
        <w:t>Líneas jerárquicas y funcionales</w:t>
      </w:r>
    </w:p>
    <w:p>
      <w:pPr>
        <w:pStyle w:val="Heading2"/>
      </w:pPr>
      <w:r>
        <w:t>Reporta jerárquicamente a</w:t>
      </w:r>
    </w:p>
    <w:p>
      <w:pPr>
        <w:pStyle w:val="Paragraph"/>
      </w:pPr>
      <w:r>
        <w:t xml:space="preserve">Responsable de operaciones</w:t>
      </w:r>
    </w:p>
    <w:p>
      <w:pPr>
        <w:pStyle w:val="Heading2"/>
      </w:pPr>
      <w:r>
        <w:t>Reporta funcionalmente a</w:t>
      </w:r>
    </w:p>
    <w:p>
      <w:pPr>
        <w:pStyle w:val="Paragraph"/>
      </w:pPr>
      <w:r>
        <w:t xml:space="preserve">Referente técnico</w:t>
      </w:r>
    </w:p>
    <w:p>
      <w:pPr>
        <w:pStyle w:val="Heading1"/>
      </w:pPr>
      <w:r>
        <w:t>Objetivo principal</w:t>
      </w:r>
    </w:p>
    <w:p>
      <w:pPr>
        <w:pStyle w:val="Paragraph"/>
      </w:pPr>
      <w:r>
        <w:t xml:space="preserve">Dirigir y coordinar la función de prueba multilingüe.</w:t>
      </w:r>
    </w:p>
    <w:p>
      <w:pPr>
        <w:pStyle w:val="Heading1"/>
      </w:pPr>
      <w:r>
        <w:t>Responsabilidades</w:t>
      </w:r>
    </w:p>
    <w:p>
      <w:pPr>
        <w:pStyle w:val="ListBullet"/>
        <w:numPr>
          <w:ilvl w:val="0"/>
          <w:numId w:val="10"/>
        </w:numPr>
      </w:pPr>
      <w:r>
        <w:t xml:space="preserve">Coordinar las actividades</w:t>
      </w:r>
    </w:p>
    <w:p>
      <w:pPr>
        <w:pStyle w:val="ListBullet"/>
        <w:numPr>
          <w:ilvl w:val="0"/>
          <w:numId w:val="10"/>
        </w:numPr>
      </w:pPr>
      <w:r>
        <w:t xml:space="preserve">Apoyar al equipo</w:t>
      </w:r>
    </w:p>
    <w:p>
      <w:pPr>
        <w:pStyle w:val="ListBullet"/>
        <w:numPr>
          <w:ilvl w:val="0"/>
          <w:numId w:val="10"/>
        </w:numPr>
      </w:pPr>
      <w:r>
        <w:t xml:space="preserve">Informar sobre los avances</w:t>
      </w:r>
    </w:p>
    <w:p>
      <w:pPr>
        <w:pStyle w:val="Heading1"/>
      </w:pPr>
      <w:r>
        <w:t>Formación</w:t>
      </w:r>
    </w:p>
    <w:p>
      <w:pPr>
        <w:pStyle w:val="Paragraph"/>
      </w:pPr>
      <w:r>
        <w:t xml:space="preserve">Título universitario pertinente.</w:t>
      </w:r>
    </w:p>
    <w:p>
      <w:pPr>
        <w:pStyle w:val="Heading1"/>
      </w:pPr>
      <w:r>
        <w:t>Experiencia</w:t>
      </w:r>
    </w:p>
    <w:p>
      <w:pPr>
        <w:pStyle w:val="Paragraph"/>
      </w:pPr>
      <w:r>
        <w:t xml:space="preserve">Al menos tres años de experiencia pertinente.</w:t>
      </w:r>
    </w:p>
    <w:p>
      <w:pPr>
        <w:pStyle w:val="Heading1"/>
      </w:pPr>
      <w:r>
        <w:t>Idiomas</w:t>
      </w:r>
    </w:p>
    <w:p>
      <w:pPr>
        <w:pStyle w:val="Paragraph"/>
      </w:pPr>
      <w:r>
        <w:t xml:space="preserve">Inglés obligatorio; francés y español deseables.</w:t>
      </w:r>
    </w:p>
    <w:p>
      <w:pPr>
        <w:pStyle w:val="Heading1"/>
      </w:pPr>
      <w:r>
        <w:t>Conocimientos</w:t>
      </w:r>
    </w:p>
    <w:p>
      <w:pPr>
        <w:pStyle w:val="Paragraph"/>
      </w:pPr>
      <w:r>
        <w:t xml:space="preserve">Conocimiento de operaciones humanitarias.</w:t>
      </w:r>
    </w:p>
    <w:p>
      <w:pPr>
        <w:pStyle w:val="Heading1"/>
      </w:pPr>
      <w:r>
        <w:t>Competencias</w:t>
      </w:r>
    </w:p>
    <w:p>
      <w:pPr>
        <w:pStyle w:val="Paragraph"/>
      </w:pPr>
      <w:r>
        <w:t xml:space="preserve">Liderazgo, trabajo en equipo, planificación.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abstractNum w:abstractNumId="9"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